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A1" w:rsidRDefault="004002D5">
      <w:pPr>
        <w:pStyle w:val="Heading1"/>
        <w:jc w:val="center"/>
      </w:pPr>
      <w:r>
        <w:t>Foreword</w:t>
      </w:r>
    </w:p>
    <w:p w:rsidR="009F08A1" w:rsidRDefault="009F08A1"/>
    <w:p w:rsidR="009F08A1" w:rsidRDefault="004002D5">
      <w:pPr>
        <w:spacing w:after="200" w:line="276" w:lineRule="auto"/>
        <w:jc w:val="both"/>
      </w:pPr>
      <w:r>
        <w:t xml:space="preserve">This special issue of the journal </w:t>
      </w:r>
      <w:proofErr w:type="spellStart"/>
      <w:r w:rsidRPr="00863BAD">
        <w:rPr>
          <w:i/>
        </w:rPr>
        <w:t>Infotheca</w:t>
      </w:r>
      <w:proofErr w:type="spellEnd"/>
      <w:r>
        <w:t>, published jointly by the University Library “</w:t>
      </w:r>
      <w:proofErr w:type="spellStart"/>
      <w:r>
        <w:t>Svetozar</w:t>
      </w:r>
      <w:proofErr w:type="spellEnd"/>
      <w:r>
        <w:t xml:space="preserve"> </w:t>
      </w:r>
      <w:proofErr w:type="spellStart"/>
      <w:r>
        <w:t>Markov</w:t>
      </w:r>
      <w:r w:rsidR="00863BAD">
        <w:t>ić</w:t>
      </w:r>
      <w:proofErr w:type="spellEnd"/>
      <w:r w:rsidR="00863BAD">
        <w:t>,” the Faculty of Philology of</w:t>
      </w:r>
      <w:r>
        <w:t xml:space="preserve"> the University of Belgrade, and the </w:t>
      </w:r>
      <w:r w:rsidR="004F206B">
        <w:t>Serbian Academic Library Association</w:t>
      </w:r>
      <w:r>
        <w:t>, marks a significant milestone: the centennial of the University Library “</w:t>
      </w:r>
      <w:proofErr w:type="spellStart"/>
      <w:r>
        <w:t>Svetozar</w:t>
      </w:r>
      <w:proofErr w:type="spellEnd"/>
      <w:r>
        <w:t xml:space="preserve"> </w:t>
      </w:r>
      <w:proofErr w:type="spellStart"/>
      <w:r>
        <w:t>Marković</w:t>
      </w:r>
      <w:proofErr w:type="spellEnd"/>
      <w:r>
        <w:t>” — an institution that has served for a full century as one of the foremost pillars of academic, scientific, and cultural life in Serbia. Over the course of the past decades, the Library has evolved in step with developments in higher education, sc</w:t>
      </w:r>
      <w:r w:rsidR="000140D6">
        <w:t>ience</w:t>
      </w:r>
      <w:r>
        <w:t>, and librarianship, while steadfastly maintaining its core mission to provide re</w:t>
      </w:r>
      <w:r w:rsidR="007055F5">
        <w:t>liable support to researchers, educators</w:t>
      </w:r>
      <w:r>
        <w:t>, students, and the broader academic community.</w:t>
      </w:r>
    </w:p>
    <w:p w:rsidR="009F08A1" w:rsidRDefault="004002D5">
      <w:pPr>
        <w:spacing w:after="200" w:line="276" w:lineRule="auto"/>
        <w:jc w:val="both"/>
      </w:pPr>
      <w:r>
        <w:t xml:space="preserve">This thematic issue brings together </w:t>
      </w:r>
      <w:r w:rsidR="00D84662">
        <w:t>papers</w:t>
      </w:r>
      <w:r>
        <w:t xml:space="preserve"> that examine the Library’s activities and contemporary directions of development from a range of scholarly perspectives. The issue comprises three research articles, six professional papers, and two reviews; the common thread running through all contributions is a commitment to capturing the richness and multidimensional character of an institution that has shaped and accompanied the development of academic librarianship in Serbia over the course of a century.</w:t>
      </w:r>
    </w:p>
    <w:p w:rsidR="009F08A1" w:rsidRDefault="004002D5">
      <w:pPr>
        <w:spacing w:after="200" w:line="276" w:lineRule="auto"/>
        <w:jc w:val="both"/>
      </w:pPr>
      <w:r>
        <w:t xml:space="preserve">The </w:t>
      </w:r>
      <w:r w:rsidR="00645993">
        <w:t>authors of the papers</w:t>
      </w:r>
      <w:r>
        <w:t xml:space="preserve"> address diverse aspects of the Library’s work — from its analog and digital collections and services, to its educational and publishing activities, to questions of preserving and interpreting institutional heritage in the digital environment, with particular attention to textual corpora of Serbian literature and research in digital humanities within the framework of distant reading.</w:t>
      </w:r>
    </w:p>
    <w:p w:rsidR="009F08A1" w:rsidRDefault="004002D5">
      <w:pPr>
        <w:spacing w:after="200" w:line="276" w:lineRule="auto"/>
        <w:jc w:val="both"/>
      </w:pPr>
      <w:r>
        <w:t xml:space="preserve">Special attention is devoted to the journal </w:t>
      </w:r>
      <w:proofErr w:type="spellStart"/>
      <w:r w:rsidRPr="00863BAD">
        <w:rPr>
          <w:i/>
        </w:rPr>
        <w:t>Infotheca</w:t>
      </w:r>
      <w:proofErr w:type="spellEnd"/>
      <w:r>
        <w:t xml:space="preserve"> itself: its history, development, and role in professional and scholarly communicatio</w:t>
      </w:r>
      <w:r w:rsidR="00B24420">
        <w:t>n in the field of librarianship</w:t>
      </w:r>
      <w:r>
        <w:t xml:space="preserve"> and information science</w:t>
      </w:r>
      <w:r w:rsidR="00B24420">
        <w:t>s</w:t>
      </w:r>
      <w:r>
        <w:t xml:space="preserve">, as well as to a </w:t>
      </w:r>
      <w:proofErr w:type="spellStart"/>
      <w:r>
        <w:t>textometric</w:t>
      </w:r>
      <w:proofErr w:type="spellEnd"/>
      <w:r>
        <w:t xml:space="preserve"> and comparative analysis of the journal’s bilingual corp</w:t>
      </w:r>
      <w:r w:rsidR="00B24420">
        <w:t>us, which in an innovative manner demonstrates</w:t>
      </w:r>
      <w:r>
        <w:t xml:space="preserve"> the potential of contemporary methodological approaches in the </w:t>
      </w:r>
      <w:r w:rsidR="00B24420">
        <w:t>study</w:t>
      </w:r>
      <w:r>
        <w:t xml:space="preserve"> of specialized and academic </w:t>
      </w:r>
      <w:r w:rsidR="00B661D0">
        <w:t>communication</w:t>
      </w:r>
      <w:r>
        <w:t xml:space="preserve">. Such </w:t>
      </w:r>
      <w:r w:rsidR="00B24420">
        <w:t>papers</w:t>
      </w:r>
      <w:r>
        <w:t xml:space="preserve"> affirm the journal’s openness to interdisciplinary </w:t>
      </w:r>
      <w:r w:rsidR="00B24420">
        <w:t>research</w:t>
      </w:r>
      <w:r>
        <w:t xml:space="preserve"> and </w:t>
      </w:r>
      <w:r w:rsidR="00894563">
        <w:t>modern</w:t>
      </w:r>
      <w:r>
        <w:t xml:space="preserve"> digital methods, as well as the Library’s sustained commitment to bridging tradition and innovation. In this sense, the present issue constitutes not merely a retrospective, but also </w:t>
      </w:r>
      <w:r w:rsidR="00F36770">
        <w:t>a consideration of future directions in the development of libraries and scholarly journals in today’s information society.</w:t>
      </w:r>
      <w:r w:rsidR="0053347E">
        <w:t xml:space="preserve"> </w:t>
      </w:r>
    </w:p>
    <w:p w:rsidR="009F08A1" w:rsidRDefault="005D1263">
      <w:pPr>
        <w:spacing w:after="200" w:line="276" w:lineRule="auto"/>
        <w:jc w:val="both"/>
      </w:pPr>
      <w:r>
        <w:t>By</w:t>
      </w:r>
      <w:r w:rsidR="004002D5">
        <w:t xml:space="preserve"> publishing this special issue, the editorial board of</w:t>
      </w:r>
      <w:r>
        <w:t xml:space="preserve"> the journal </w:t>
      </w:r>
      <w:proofErr w:type="spellStart"/>
      <w:r w:rsidR="004002D5" w:rsidRPr="008A6C47">
        <w:rPr>
          <w:i/>
        </w:rPr>
        <w:t>Infotheca</w:t>
      </w:r>
      <w:proofErr w:type="spellEnd"/>
      <w:r w:rsidR="004002D5">
        <w:t xml:space="preserve"> and the University Library “</w:t>
      </w:r>
      <w:proofErr w:type="spellStart"/>
      <w:r w:rsidR="004002D5">
        <w:t>Svetozar</w:t>
      </w:r>
      <w:proofErr w:type="spellEnd"/>
      <w:r w:rsidR="004002D5">
        <w:t xml:space="preserve"> </w:t>
      </w:r>
      <w:proofErr w:type="spellStart"/>
      <w:r w:rsidR="004002D5">
        <w:t>Marković</w:t>
      </w:r>
      <w:proofErr w:type="spellEnd"/>
      <w:r w:rsidR="004002D5">
        <w:t xml:space="preserve">” wish to mark this significant anniversary as a stimulus for new research, professional collaboration, and the continued advancement of library and information </w:t>
      </w:r>
      <w:r w:rsidR="00AE1D7B">
        <w:t>activities</w:t>
      </w:r>
      <w:r w:rsidR="004002D5">
        <w:t xml:space="preserve">. We believe that the </w:t>
      </w:r>
      <w:r w:rsidR="008A6C47">
        <w:t>paper</w:t>
      </w:r>
      <w:r w:rsidR="004002D5">
        <w:t>s assembled in this issue will deepen understanding of the role of academic libraries in contemporary society and encourage new reflections on their place in the future of s</w:t>
      </w:r>
      <w:r w:rsidR="008A6C47">
        <w:t>cience</w:t>
      </w:r>
      <w:r w:rsidR="004002D5">
        <w:t>, education, and culture.</w:t>
      </w:r>
    </w:p>
    <w:p w:rsidR="009F08A1" w:rsidRDefault="009F08A1"/>
    <w:p w:rsidR="009F08A1" w:rsidRDefault="004002D5">
      <w:pPr>
        <w:jc w:val="right"/>
      </w:pPr>
      <w:r w:rsidRPr="00645993">
        <w:rPr>
          <w:iCs/>
        </w:rPr>
        <w:t>The Editorial Board of</w:t>
      </w:r>
      <w:r>
        <w:rPr>
          <w:i/>
          <w:iCs/>
        </w:rPr>
        <w:t xml:space="preserve"> </w:t>
      </w:r>
      <w:proofErr w:type="spellStart"/>
      <w:r>
        <w:rPr>
          <w:i/>
          <w:iCs/>
        </w:rPr>
        <w:t>Infotheca</w:t>
      </w:r>
      <w:proofErr w:type="spellEnd"/>
    </w:p>
    <w:sectPr w:rsidR="009F08A1" w:rsidSect="009F08A1">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765EE"/>
    <w:multiLevelType w:val="hybridMultilevel"/>
    <w:tmpl w:val="49D6F272"/>
    <w:lvl w:ilvl="0" w:tplc="B4025DE0">
      <w:start w:val="1"/>
      <w:numFmt w:val="bullet"/>
      <w:lvlText w:val="●"/>
      <w:lvlJc w:val="left"/>
      <w:pPr>
        <w:ind w:left="720" w:hanging="360"/>
      </w:pPr>
    </w:lvl>
    <w:lvl w:ilvl="1" w:tplc="DAE663C2">
      <w:start w:val="1"/>
      <w:numFmt w:val="bullet"/>
      <w:lvlText w:val="○"/>
      <w:lvlJc w:val="left"/>
      <w:pPr>
        <w:ind w:left="1440" w:hanging="360"/>
      </w:pPr>
    </w:lvl>
    <w:lvl w:ilvl="2" w:tplc="8748764C">
      <w:start w:val="1"/>
      <w:numFmt w:val="bullet"/>
      <w:lvlText w:val="■"/>
      <w:lvlJc w:val="left"/>
      <w:pPr>
        <w:ind w:left="2160" w:hanging="360"/>
      </w:pPr>
    </w:lvl>
    <w:lvl w:ilvl="3" w:tplc="B2C6C932">
      <w:start w:val="1"/>
      <w:numFmt w:val="bullet"/>
      <w:lvlText w:val="●"/>
      <w:lvlJc w:val="left"/>
      <w:pPr>
        <w:ind w:left="2880" w:hanging="360"/>
      </w:pPr>
    </w:lvl>
    <w:lvl w:ilvl="4" w:tplc="1644A45A">
      <w:start w:val="1"/>
      <w:numFmt w:val="bullet"/>
      <w:lvlText w:val="○"/>
      <w:lvlJc w:val="left"/>
      <w:pPr>
        <w:ind w:left="3600" w:hanging="360"/>
      </w:pPr>
    </w:lvl>
    <w:lvl w:ilvl="5" w:tplc="A1B40850">
      <w:start w:val="1"/>
      <w:numFmt w:val="bullet"/>
      <w:lvlText w:val="■"/>
      <w:lvlJc w:val="left"/>
      <w:pPr>
        <w:ind w:left="4320" w:hanging="360"/>
      </w:pPr>
    </w:lvl>
    <w:lvl w:ilvl="6" w:tplc="5D9482DA">
      <w:start w:val="1"/>
      <w:numFmt w:val="bullet"/>
      <w:lvlText w:val="●"/>
      <w:lvlJc w:val="left"/>
      <w:pPr>
        <w:ind w:left="5040" w:hanging="360"/>
      </w:pPr>
    </w:lvl>
    <w:lvl w:ilvl="7" w:tplc="54407034">
      <w:start w:val="1"/>
      <w:numFmt w:val="bullet"/>
      <w:lvlText w:val="●"/>
      <w:lvlJc w:val="left"/>
      <w:pPr>
        <w:ind w:left="5760" w:hanging="360"/>
      </w:pPr>
    </w:lvl>
    <w:lvl w:ilvl="8" w:tplc="F70633D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9F08A1"/>
    <w:rsid w:val="000140D6"/>
    <w:rsid w:val="001E5928"/>
    <w:rsid w:val="004002D5"/>
    <w:rsid w:val="004F206B"/>
    <w:rsid w:val="0053347E"/>
    <w:rsid w:val="005D1263"/>
    <w:rsid w:val="00645993"/>
    <w:rsid w:val="007055F5"/>
    <w:rsid w:val="00863BAD"/>
    <w:rsid w:val="00894563"/>
    <w:rsid w:val="008A6C47"/>
    <w:rsid w:val="009F08A1"/>
    <w:rsid w:val="00AE1D7B"/>
    <w:rsid w:val="00B24420"/>
    <w:rsid w:val="00B30CAE"/>
    <w:rsid w:val="00B661D0"/>
    <w:rsid w:val="00D84662"/>
    <w:rsid w:val="00F36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28"/>
  </w:style>
  <w:style w:type="paragraph" w:styleId="Heading1">
    <w:name w:val="heading 1"/>
    <w:qFormat/>
    <w:rsid w:val="009F08A1"/>
    <w:pPr>
      <w:spacing w:before="240" w:after="240"/>
      <w:outlineLvl w:val="0"/>
    </w:pPr>
    <w:rPr>
      <w:b/>
      <w:bCs/>
      <w:color w:val="000000"/>
      <w:sz w:val="28"/>
      <w:szCs w:val="28"/>
    </w:rPr>
  </w:style>
  <w:style w:type="paragraph" w:styleId="Heading2">
    <w:name w:val="heading 2"/>
    <w:qFormat/>
    <w:rsid w:val="009F08A1"/>
    <w:pPr>
      <w:outlineLvl w:val="1"/>
    </w:pPr>
    <w:rPr>
      <w:color w:val="2E74B5"/>
      <w:sz w:val="26"/>
      <w:szCs w:val="26"/>
    </w:rPr>
  </w:style>
  <w:style w:type="paragraph" w:styleId="Heading3">
    <w:name w:val="heading 3"/>
    <w:qFormat/>
    <w:rsid w:val="009F08A1"/>
    <w:pPr>
      <w:outlineLvl w:val="2"/>
    </w:pPr>
    <w:rPr>
      <w:color w:val="1F4D78"/>
    </w:rPr>
  </w:style>
  <w:style w:type="paragraph" w:styleId="Heading4">
    <w:name w:val="heading 4"/>
    <w:qFormat/>
    <w:rsid w:val="009F08A1"/>
    <w:pPr>
      <w:outlineLvl w:val="3"/>
    </w:pPr>
    <w:rPr>
      <w:i/>
      <w:iCs/>
      <w:color w:val="2E74B5"/>
    </w:rPr>
  </w:style>
  <w:style w:type="paragraph" w:styleId="Heading5">
    <w:name w:val="heading 5"/>
    <w:qFormat/>
    <w:rsid w:val="009F08A1"/>
    <w:pPr>
      <w:outlineLvl w:val="4"/>
    </w:pPr>
    <w:rPr>
      <w:color w:val="2E74B5"/>
    </w:rPr>
  </w:style>
  <w:style w:type="paragraph" w:styleId="Heading6">
    <w:name w:val="heading 6"/>
    <w:qFormat/>
    <w:rsid w:val="009F08A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F08A1"/>
    <w:rPr>
      <w:sz w:val="56"/>
      <w:szCs w:val="56"/>
    </w:rPr>
  </w:style>
  <w:style w:type="paragraph" w:customStyle="1" w:styleId="Strong1">
    <w:name w:val="Strong1"/>
    <w:qFormat/>
    <w:rsid w:val="009F08A1"/>
    <w:rPr>
      <w:b/>
      <w:bCs/>
    </w:rPr>
  </w:style>
  <w:style w:type="paragraph" w:styleId="ListParagraph">
    <w:name w:val="List Paragraph"/>
    <w:qFormat/>
    <w:rsid w:val="009F08A1"/>
  </w:style>
  <w:style w:type="character" w:styleId="Hyperlink">
    <w:name w:val="Hyperlink"/>
    <w:uiPriority w:val="99"/>
    <w:unhideWhenUsed/>
    <w:rsid w:val="009F08A1"/>
    <w:rPr>
      <w:color w:val="0563C1"/>
      <w:u w:val="single"/>
    </w:rPr>
  </w:style>
  <w:style w:type="character" w:styleId="FootnoteReference">
    <w:name w:val="footnote reference"/>
    <w:uiPriority w:val="99"/>
    <w:semiHidden/>
    <w:unhideWhenUsed/>
    <w:rsid w:val="009F08A1"/>
    <w:rPr>
      <w:vertAlign w:val="superscript"/>
    </w:rPr>
  </w:style>
  <w:style w:type="paragraph" w:styleId="FootnoteText">
    <w:name w:val="footnote text"/>
    <w:link w:val="FootnoteTextChar"/>
    <w:uiPriority w:val="99"/>
    <w:semiHidden/>
    <w:unhideWhenUsed/>
    <w:rsid w:val="009F08A1"/>
    <w:rPr>
      <w:sz w:val="20"/>
      <w:szCs w:val="20"/>
    </w:rPr>
  </w:style>
  <w:style w:type="character" w:customStyle="1" w:styleId="FootnoteTextChar">
    <w:name w:val="Footnote Text Char"/>
    <w:link w:val="FootnoteText"/>
    <w:uiPriority w:val="99"/>
    <w:semiHidden/>
    <w:unhideWhenUsed/>
    <w:rsid w:val="009F08A1"/>
    <w:rPr>
      <w:sz w:val="20"/>
      <w:szCs w:val="20"/>
    </w:rPr>
  </w:style>
  <w:style w:type="character" w:styleId="EndnoteReference">
    <w:name w:val="endnote reference"/>
    <w:uiPriority w:val="99"/>
    <w:semiHidden/>
    <w:unhideWhenUsed/>
    <w:rsid w:val="009F08A1"/>
    <w:rPr>
      <w:vertAlign w:val="superscript"/>
    </w:rPr>
  </w:style>
  <w:style w:type="paragraph" w:styleId="EndnoteText">
    <w:name w:val="endnote text"/>
    <w:link w:val="EndnoteTextChar"/>
    <w:uiPriority w:val="99"/>
    <w:semiHidden/>
    <w:unhideWhenUsed/>
    <w:rsid w:val="009F08A1"/>
    <w:rPr>
      <w:sz w:val="20"/>
      <w:szCs w:val="20"/>
    </w:rPr>
  </w:style>
  <w:style w:type="character" w:customStyle="1" w:styleId="EndnoteTextChar">
    <w:name w:val="Endnote Text Char"/>
    <w:link w:val="EndnoteText"/>
    <w:uiPriority w:val="99"/>
    <w:semiHidden/>
    <w:unhideWhenUsed/>
    <w:rsid w:val="009F08A1"/>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zaposleni</cp:lastModifiedBy>
  <cp:revision>17</cp:revision>
  <dcterms:created xsi:type="dcterms:W3CDTF">2026-05-20T09:22:00Z</dcterms:created>
  <dcterms:modified xsi:type="dcterms:W3CDTF">2026-05-20T12:51:00Z</dcterms:modified>
</cp:coreProperties>
</file>